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193</w:t>
      </w:r>
    </w:p>
    <w:p>
      <w:r>
        <w:t>Bundesgericht (BGE), 2013-09-23, FR</w:t>
      </w:r>
    </w:p>
    <w:p>
      <w:r>
        <w:rPr>
          <w:b/>
        </w:rPr>
        <w:t xml:space="preserve">Quelle: </w:t>
      </w:r>
      <w:r>
        <w:t>https://mcp.opencaselaw.ch/entscheid/bge_142 III 193</w:t>
      </w:r>
    </w:p>
    <w:p>
      <w:r>
        <w:t>FR: ATF 142 III 193</w:t>
      </w:r>
    </w:p>
    <w:p>
      <w:r>
        <w:t>IT: DTF 142 III 193</w:t>
      </w:r>
    </w:p>
    <w:p>
      <w:pPr>
        <w:pStyle w:val="Heading2"/>
      </w:pPr>
      <w:r>
        <w:t>Regeste</w:t>
      </w:r>
    </w:p>
    <w:p>
      <w:r>
        <w:t>Regeste Art. 126 ZGB; Zeitpunkt, ab dem der nacheheliche Unterhaltsbeitrag geschuldet ist. Wenn der Massnahmenrichter den Unterhaltsschuldner zur Bezahlung eines Unterhaltsbeitrags verpflichtet hat, kann der Scheidungsrichter den dies a quo des Unterhaltsbeitrags nicht auf ein Datum festsetzen, das vor dem teilweisen Eintritt der Rechtskraft des Scheidungsurteils liegt (E. 5.3).</w:t>
      </w:r>
    </w:p>
    <w:p>
      <w:pPr>
        <w:pStyle w:val="Heading2"/>
      </w:pPr>
      <w:r>
        <w:t>Erwägungen</w:t>
      </w:r>
    </w:p>
    <w:p>
      <w:r>
        <w:rPr>
          <w:b/>
        </w:rPr>
        <w:t>E. 5</w:t>
      </w:r>
    </w:p>
    <w:p>
      <w:r>
        <w:t>(...)</w:t>
      </w:r>
    </w:p>
    <w:p>
      <w:r>
        <w:rPr>
          <w:b/>
        </w:rPr>
        <w:t>E. 5.3</w:t>
      </w:r>
    </w:p>
    <w:p>
      <w:r>
        <w:t>Selon l' art. 126 CC , le juge du divorce fixe le moment à partir duquel la contribution d'entretien en faveur du conjoint est due. Celle-ci prend en principe effet à l'entrée en force du jugement de divorce, sauf si le juge en fixe, selon son appréciation, le dies a quo à un autre moment. Le juge du divorce peut par exemple décider de subordonner l'obligation d'entretien à une condition ou à un terme. Il peut aussi décider de fixer le dies a quo au moment où le jugement de divorce est entré en force de chose jugée partielle, à savoir lorsque le principe du divorce n'est plus remis en cause ( ATF 128 III 121 consid. 3b/bb p. 123; arrêts 5A_34/2015 du 29 juin 2015 consid. 4; 5C.293/2006 du 29 novembre 2007 consid. 3.3; 5C.228/2006 du 9 octobre 2006 consid. 2.2); cela vaut aussi lorsque le juge des mesures provisionnelles a ordonné le versement d'une contribution d'entretien qui va au-delà de l'entrée en force partielle ( ATF 128 III 121 consid. 3c/aa p. 123). De manière générale, il n'est pas non plus exclu que le juge ordonne, exceptionnellement, le versement d'une contribution d'entretien avec effet à une date antérieure à l'entrée en force partielle, par exemple à compter du dépôt de la demande en divorce (ceci nonobstant la BGE 142 III 193 S. 195 terminologie de la note marginale ad art. 125 CC "Entretien après divorce"; cf. dans ce sens GLOOR/SPYCHER, in Basler Kommentar, Zivilgesetzbuch, vol. I, 5 e éd. 2014, n° 4 in fine ad art. 126 CC ; PASCAL PICHONNAZ, in Commentaire romand, Code civil, vol. I, 2010, n° 8 ad art. 126 CC ). Il faut cependant réserver les cas dans lesquels des mesures provisionnelles ont été ordonnées pour la durée de la procédure de divorce. Dans ces situations, le juge du divorce ne saurait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 ATF 141 III 376 consid. 3.3.4 p. 381; ATF 127 III 496 consid. 3a p. 498 et 3b/bb p. 502). Ces principes s'appliquent aussi s'agissant de la contribution d'entretien en faveur de l'enfant.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